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EC" w:rsidRDefault="000E18EC" w:rsidP="00131E4D">
      <w:pPr>
        <w:jc w:val="right"/>
        <w:rPr>
          <w:rFonts w:ascii="Arial" w:hAnsi="Arial" w:cs="Arial"/>
          <w:sz w:val="24"/>
          <w:szCs w:val="24"/>
        </w:rPr>
      </w:pPr>
    </w:p>
    <w:p w:rsidR="000E18EC" w:rsidRDefault="000E18EC" w:rsidP="00131E4D">
      <w:pPr>
        <w:jc w:val="right"/>
        <w:rPr>
          <w:rFonts w:ascii="Arial" w:hAnsi="Arial" w:cs="Arial"/>
          <w:sz w:val="24"/>
          <w:szCs w:val="24"/>
        </w:rPr>
      </w:pPr>
    </w:p>
    <w:p w:rsidR="00131E4D" w:rsidRDefault="00131E4D" w:rsidP="00131E4D">
      <w:pPr>
        <w:jc w:val="right"/>
        <w:rPr>
          <w:rFonts w:ascii="Arial" w:hAnsi="Arial" w:cs="Arial"/>
          <w:sz w:val="24"/>
          <w:szCs w:val="24"/>
        </w:rPr>
      </w:pPr>
      <w:r>
        <w:rPr>
          <w:rFonts w:ascii="Arial" w:hAnsi="Arial" w:cs="Arial"/>
          <w:sz w:val="24"/>
          <w:szCs w:val="24"/>
        </w:rPr>
        <w:t>Guadalajara, Jalisco 16 de Junio del 2017</w:t>
      </w:r>
    </w:p>
    <w:p w:rsidR="00131E4D" w:rsidRDefault="00131E4D" w:rsidP="00131E4D">
      <w:pPr>
        <w:jc w:val="right"/>
        <w:rPr>
          <w:rFonts w:ascii="Arial" w:hAnsi="Arial" w:cs="Arial"/>
          <w:sz w:val="24"/>
          <w:szCs w:val="24"/>
        </w:rPr>
      </w:pPr>
    </w:p>
    <w:p w:rsidR="00A04C01" w:rsidRDefault="00131E4D" w:rsidP="000E18EC">
      <w:pPr>
        <w:jc w:val="both"/>
        <w:rPr>
          <w:rFonts w:ascii="Arial" w:hAnsi="Arial" w:cs="Arial"/>
          <w:sz w:val="24"/>
          <w:szCs w:val="24"/>
        </w:rPr>
      </w:pPr>
      <w:r>
        <w:rPr>
          <w:rFonts w:ascii="Arial" w:hAnsi="Arial" w:cs="Arial"/>
          <w:sz w:val="24"/>
          <w:szCs w:val="24"/>
        </w:rPr>
        <w:t>Por instruccione</w:t>
      </w:r>
      <w:r w:rsidR="000E18EC">
        <w:rPr>
          <w:rFonts w:ascii="Arial" w:hAnsi="Arial" w:cs="Arial"/>
          <w:sz w:val="24"/>
          <w:szCs w:val="24"/>
        </w:rPr>
        <w:t xml:space="preserve">s del Director General </w:t>
      </w:r>
      <w:r w:rsidR="007E19BF">
        <w:rPr>
          <w:rFonts w:ascii="Arial" w:hAnsi="Arial" w:cs="Arial"/>
          <w:sz w:val="24"/>
          <w:szCs w:val="24"/>
        </w:rPr>
        <w:t xml:space="preserve">Pedro Bernardo Carvajal Maldonado, </w:t>
      </w:r>
      <w:r w:rsidR="000E18EC">
        <w:rPr>
          <w:rFonts w:ascii="Arial" w:hAnsi="Arial" w:cs="Arial"/>
          <w:sz w:val="24"/>
          <w:szCs w:val="24"/>
        </w:rPr>
        <w:t>se</w:t>
      </w:r>
      <w:r>
        <w:rPr>
          <w:rFonts w:ascii="Arial" w:hAnsi="Arial" w:cs="Arial"/>
          <w:sz w:val="24"/>
          <w:szCs w:val="24"/>
        </w:rPr>
        <w:t xml:space="preserve"> le hace llegar la información</w:t>
      </w:r>
      <w:r w:rsidR="00A04C01" w:rsidRPr="00131E4D">
        <w:rPr>
          <w:rFonts w:ascii="Arial" w:hAnsi="Arial" w:cs="Arial"/>
          <w:sz w:val="24"/>
          <w:szCs w:val="24"/>
        </w:rPr>
        <w:t xml:space="preserve"> </w:t>
      </w:r>
      <w:r>
        <w:rPr>
          <w:rFonts w:ascii="Arial" w:hAnsi="Arial" w:cs="Arial"/>
          <w:sz w:val="24"/>
          <w:szCs w:val="24"/>
        </w:rPr>
        <w:t>solicitada mediante</w:t>
      </w:r>
      <w:r w:rsidR="000E18EC">
        <w:rPr>
          <w:rFonts w:ascii="Arial" w:hAnsi="Arial" w:cs="Arial"/>
          <w:sz w:val="24"/>
          <w:szCs w:val="24"/>
        </w:rPr>
        <w:t xml:space="preserve"> correo electrónico de fecha </w:t>
      </w:r>
      <w:r>
        <w:rPr>
          <w:rFonts w:ascii="Arial" w:hAnsi="Arial" w:cs="Arial"/>
          <w:sz w:val="24"/>
          <w:szCs w:val="24"/>
        </w:rPr>
        <w:t>09 el mes y año en curso,</w:t>
      </w:r>
      <w:r w:rsidR="00A04C01" w:rsidRPr="00131E4D">
        <w:rPr>
          <w:rFonts w:ascii="Arial" w:hAnsi="Arial" w:cs="Arial"/>
          <w:sz w:val="24"/>
          <w:szCs w:val="24"/>
        </w:rPr>
        <w:t xml:space="preserve"> </w:t>
      </w:r>
      <w:r w:rsidR="000E18EC">
        <w:rPr>
          <w:rFonts w:ascii="Arial" w:hAnsi="Arial" w:cs="Arial"/>
          <w:sz w:val="24"/>
          <w:szCs w:val="24"/>
        </w:rPr>
        <w:t xml:space="preserve">la cual </w:t>
      </w:r>
      <w:r>
        <w:rPr>
          <w:rFonts w:ascii="Arial" w:hAnsi="Arial" w:cs="Arial"/>
          <w:sz w:val="24"/>
          <w:szCs w:val="24"/>
        </w:rPr>
        <w:t>fue proporcionada por el área de sistemas deriv</w:t>
      </w:r>
      <w:r w:rsidR="000E18EC">
        <w:rPr>
          <w:rFonts w:ascii="Arial" w:hAnsi="Arial" w:cs="Arial"/>
          <w:sz w:val="24"/>
          <w:szCs w:val="24"/>
        </w:rPr>
        <w:t>ada de la consulta que se hizo en</w:t>
      </w:r>
      <w:r>
        <w:rPr>
          <w:rFonts w:ascii="Arial" w:hAnsi="Arial" w:cs="Arial"/>
          <w:sz w:val="24"/>
          <w:szCs w:val="24"/>
        </w:rPr>
        <w:t xml:space="preserve"> la base de datos con que cuenta</w:t>
      </w:r>
      <w:r w:rsidR="000E18EC">
        <w:rPr>
          <w:rFonts w:ascii="Arial" w:hAnsi="Arial" w:cs="Arial"/>
          <w:sz w:val="24"/>
          <w:szCs w:val="24"/>
        </w:rPr>
        <w:t xml:space="preserve"> este Instituto</w:t>
      </w:r>
      <w:r>
        <w:rPr>
          <w:rFonts w:ascii="Arial" w:hAnsi="Arial" w:cs="Arial"/>
          <w:sz w:val="24"/>
          <w:szCs w:val="24"/>
        </w:rPr>
        <w:t>, consistiendo en el</w:t>
      </w:r>
      <w:r w:rsidR="00A04C01" w:rsidRPr="00131E4D">
        <w:rPr>
          <w:rFonts w:ascii="Arial" w:hAnsi="Arial" w:cs="Arial"/>
          <w:sz w:val="24"/>
          <w:szCs w:val="24"/>
        </w:rPr>
        <w:t xml:space="preserve"> número total de </w:t>
      </w:r>
      <w:r w:rsidR="00A04C01" w:rsidRPr="00131E4D">
        <w:rPr>
          <w:rFonts w:ascii="Arial" w:hAnsi="Arial" w:cs="Arial"/>
          <w:b/>
          <w:sz w:val="24"/>
          <w:szCs w:val="24"/>
        </w:rPr>
        <w:t>SOLICITUDES, CONVENIOS Y MEDIACIONES</w:t>
      </w:r>
      <w:r w:rsidR="000E18EC">
        <w:rPr>
          <w:rFonts w:ascii="Arial" w:hAnsi="Arial" w:cs="Arial"/>
          <w:sz w:val="24"/>
          <w:szCs w:val="24"/>
        </w:rPr>
        <w:t xml:space="preserve"> que fueron</w:t>
      </w:r>
      <w:r w:rsidR="00A04C01" w:rsidRPr="00131E4D">
        <w:rPr>
          <w:rFonts w:ascii="Arial" w:hAnsi="Arial" w:cs="Arial"/>
          <w:sz w:val="24"/>
          <w:szCs w:val="24"/>
        </w:rPr>
        <w:t xml:space="preserve"> realizadas en el Instituto de Justicia Alternativa del Estado de Jalisco desde el año 2011 en que comenzó sus labores hasta el 31 de mayo del 2017, con la finalidad de que siga nutriendo la página que corresponde a la Red Nacional de Mecanismos Alternativos para la Solución de Controversias de la CONATRIB, la cual a</w:t>
      </w:r>
      <w:r w:rsidR="004C7656">
        <w:rPr>
          <w:rFonts w:ascii="Arial" w:hAnsi="Arial" w:cs="Arial"/>
          <w:sz w:val="24"/>
          <w:szCs w:val="24"/>
        </w:rPr>
        <w:t>ctualmente está en construcción,</w:t>
      </w:r>
      <w:r>
        <w:rPr>
          <w:rFonts w:ascii="Arial" w:hAnsi="Arial" w:cs="Arial"/>
          <w:sz w:val="24"/>
          <w:szCs w:val="24"/>
        </w:rPr>
        <w:t xml:space="preserve"> misma </w:t>
      </w:r>
      <w:r w:rsidR="004C7656">
        <w:rPr>
          <w:rFonts w:ascii="Arial" w:hAnsi="Arial" w:cs="Arial"/>
          <w:sz w:val="24"/>
          <w:szCs w:val="24"/>
        </w:rPr>
        <w:t xml:space="preserve">que </w:t>
      </w:r>
      <w:r>
        <w:rPr>
          <w:rFonts w:ascii="Arial" w:hAnsi="Arial" w:cs="Arial"/>
          <w:sz w:val="24"/>
          <w:szCs w:val="24"/>
        </w:rPr>
        <w:t>se describe a continuación:</w:t>
      </w:r>
    </w:p>
    <w:p w:rsidR="00A04C01" w:rsidRPr="00131E4D" w:rsidRDefault="00A04C01" w:rsidP="00131E4D">
      <w:pPr>
        <w:jc w:val="center"/>
        <w:rPr>
          <w:rFonts w:ascii="Arial" w:hAnsi="Arial" w:cs="Arial"/>
          <w:sz w:val="24"/>
          <w:szCs w:val="24"/>
        </w:rPr>
      </w:pPr>
    </w:p>
    <w:tbl>
      <w:tblPr>
        <w:tblStyle w:val="Tablaconcuadrcula"/>
        <w:tblW w:w="5080" w:type="dxa"/>
        <w:tblLook w:val="04A0" w:firstRow="1" w:lastRow="0" w:firstColumn="1" w:lastColumn="0" w:noHBand="0" w:noVBand="1"/>
      </w:tblPr>
      <w:tblGrid>
        <w:gridCol w:w="787"/>
        <w:gridCol w:w="1378"/>
        <w:gridCol w:w="1351"/>
        <w:gridCol w:w="1564"/>
      </w:tblGrid>
      <w:tr w:rsidR="00A04C01" w:rsidRPr="00131E4D" w:rsidTr="00C2127C">
        <w:trPr>
          <w:trHeight w:val="300"/>
        </w:trPr>
        <w:tc>
          <w:tcPr>
            <w:tcW w:w="960" w:type="dxa"/>
            <w:hideMark/>
          </w:tcPr>
          <w:p w:rsidR="00A04C01" w:rsidRPr="00131E4D" w:rsidRDefault="00A04C01" w:rsidP="00131E4D">
            <w:pPr>
              <w:jc w:val="center"/>
              <w:rPr>
                <w:rFonts w:ascii="Arial" w:hAnsi="Arial" w:cs="Arial"/>
                <w:sz w:val="24"/>
                <w:szCs w:val="24"/>
              </w:rPr>
            </w:pPr>
          </w:p>
        </w:tc>
        <w:tc>
          <w:tcPr>
            <w:tcW w:w="1380" w:type="dxa"/>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Solicitudes</w:t>
            </w:r>
          </w:p>
        </w:tc>
        <w:tc>
          <w:tcPr>
            <w:tcW w:w="1240" w:type="dxa"/>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Convenios</w:t>
            </w:r>
          </w:p>
        </w:tc>
        <w:tc>
          <w:tcPr>
            <w:tcW w:w="1500" w:type="dxa"/>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Mediaciones</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2011</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56.00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45.00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56.00</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2012</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1,320.00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449.00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1,320.00</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2013</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4,961.00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2,196.00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4,961.00</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2014</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9,735.00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939.00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8,629.00</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2015</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12,942.00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1,862.00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11,612.00</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2016</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14,738.00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4,888.00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14,192.00</w:t>
            </w:r>
          </w:p>
        </w:tc>
      </w:tr>
      <w:tr w:rsidR="00A04C01" w:rsidRPr="00131E4D" w:rsidTr="00C2127C">
        <w:trPr>
          <w:trHeight w:val="300"/>
        </w:trPr>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2017</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5,586.00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1,774.00</w:t>
            </w:r>
          </w:p>
        </w:tc>
        <w:tc>
          <w:tcPr>
            <w:tcW w:w="0" w:type="auto"/>
            <w:hideMark/>
          </w:tcPr>
          <w:p w:rsidR="00A04C01" w:rsidRPr="00131E4D" w:rsidRDefault="00A04C01" w:rsidP="00131E4D">
            <w:pPr>
              <w:jc w:val="center"/>
              <w:rPr>
                <w:rFonts w:ascii="Arial" w:hAnsi="Arial" w:cs="Arial"/>
                <w:sz w:val="24"/>
                <w:szCs w:val="24"/>
              </w:rPr>
            </w:pPr>
            <w:r w:rsidRPr="00131E4D">
              <w:rPr>
                <w:rFonts w:ascii="Arial" w:hAnsi="Arial" w:cs="Arial"/>
                <w:sz w:val="24"/>
                <w:szCs w:val="24"/>
              </w:rPr>
              <w:t>5,497.00</w:t>
            </w:r>
          </w:p>
        </w:tc>
      </w:tr>
    </w:tbl>
    <w:p w:rsidR="00131E4D" w:rsidRDefault="00131E4D" w:rsidP="000E18EC">
      <w:pPr>
        <w:rPr>
          <w:rFonts w:ascii="Arial" w:hAnsi="Arial" w:cs="Arial"/>
          <w:sz w:val="24"/>
          <w:szCs w:val="24"/>
        </w:rPr>
      </w:pPr>
    </w:p>
    <w:p w:rsidR="000E18EC" w:rsidRDefault="000E18EC" w:rsidP="000E18EC">
      <w:pPr>
        <w:rPr>
          <w:rFonts w:ascii="Arial" w:hAnsi="Arial" w:cs="Arial"/>
          <w:sz w:val="24"/>
          <w:szCs w:val="24"/>
        </w:rPr>
      </w:pPr>
    </w:p>
    <w:p w:rsidR="000E18EC" w:rsidRDefault="000E18EC" w:rsidP="000E18EC">
      <w:pPr>
        <w:rPr>
          <w:rFonts w:ascii="Arial" w:hAnsi="Arial" w:cs="Arial"/>
          <w:sz w:val="24"/>
          <w:szCs w:val="24"/>
        </w:rPr>
      </w:pPr>
    </w:p>
    <w:p w:rsidR="00131E4D" w:rsidRDefault="00131E4D" w:rsidP="00131E4D">
      <w:pPr>
        <w:rPr>
          <w:rFonts w:ascii="Arial" w:hAnsi="Arial" w:cs="Arial"/>
          <w:sz w:val="24"/>
          <w:szCs w:val="24"/>
        </w:rPr>
      </w:pPr>
      <w:bookmarkStart w:id="0" w:name="_GoBack"/>
      <w:bookmarkEnd w:id="0"/>
    </w:p>
    <w:p w:rsidR="00131E4D" w:rsidRDefault="00131E4D" w:rsidP="00131E4D">
      <w:pPr>
        <w:rPr>
          <w:rFonts w:ascii="Arial" w:hAnsi="Arial" w:cs="Arial"/>
          <w:sz w:val="24"/>
          <w:szCs w:val="24"/>
        </w:rPr>
      </w:pPr>
    </w:p>
    <w:p w:rsidR="00131E4D" w:rsidRPr="00131E4D" w:rsidRDefault="00131E4D" w:rsidP="00131E4D">
      <w:pPr>
        <w:rPr>
          <w:rFonts w:ascii="Arial" w:hAnsi="Arial" w:cs="Arial"/>
          <w:sz w:val="24"/>
          <w:szCs w:val="24"/>
        </w:rPr>
      </w:pPr>
    </w:p>
    <w:sectPr w:rsidR="00131E4D" w:rsidRPr="00131E4D" w:rsidSect="00C2127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01"/>
    <w:rsid w:val="000E18EC"/>
    <w:rsid w:val="00131E4D"/>
    <w:rsid w:val="004C7656"/>
    <w:rsid w:val="007E19BF"/>
    <w:rsid w:val="00A04C01"/>
    <w:rsid w:val="00C2127C"/>
    <w:rsid w:val="00C85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1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1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Esmeralda Nungaray Sigala</dc:creator>
  <cp:keywords/>
  <dc:description/>
  <cp:lastModifiedBy>GUADALUPE STEPHANIE GONZÁLEZ DIMAS</cp:lastModifiedBy>
  <cp:revision>6</cp:revision>
  <dcterms:created xsi:type="dcterms:W3CDTF">2017-06-16T21:25:00Z</dcterms:created>
  <dcterms:modified xsi:type="dcterms:W3CDTF">2017-06-29T18:42:00Z</dcterms:modified>
</cp:coreProperties>
</file>